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F9893" w14:textId="77777777" w:rsidR="001A663C" w:rsidRPr="000043CA" w:rsidRDefault="00CF7DAA" w:rsidP="000043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0"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Додаток № 1</w:t>
      </w:r>
    </w:p>
    <w:p w14:paraId="521D2142" w14:textId="563B37E0" w:rsidR="001A663C" w:rsidRPr="000043CA" w:rsidRDefault="00CF7DAA" w:rsidP="000043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6"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Середньострокового плану</w:t>
      </w:r>
      <w:r w:rsidR="001C507F"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публічних інвестицій </w:t>
      </w:r>
      <w:r w:rsidR="001C507F"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Новгород-Сіверської</w:t>
      </w:r>
      <w:r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т</w:t>
      </w:r>
      <w:r w:rsidR="004819E0"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ериторіальної громади на 2026-</w:t>
      </w:r>
      <w:r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2028 роки</w:t>
      </w:r>
    </w:p>
    <w:p w14:paraId="5D811560" w14:textId="77777777" w:rsidR="00394245" w:rsidRPr="000043CA" w:rsidRDefault="00394245" w:rsidP="000043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EB079F0" w14:textId="77777777" w:rsidR="00A5224A" w:rsidRDefault="00CF7DAA" w:rsidP="000043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43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Основні напрями </w:t>
      </w:r>
    </w:p>
    <w:p w14:paraId="6D0066DA" w14:textId="66BA287F" w:rsidR="001A663C" w:rsidRPr="000043CA" w:rsidRDefault="00CF7DAA" w:rsidP="000043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43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публічного інвестування</w:t>
      </w:r>
    </w:p>
    <w:p w14:paraId="4376AF82" w14:textId="77777777" w:rsidR="001A663C" w:rsidRPr="000043CA" w:rsidRDefault="001A663C" w:rsidP="000043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B37E0E0" w14:textId="1099A078" w:rsidR="001A663C" w:rsidRPr="000043CA" w:rsidRDefault="00CF7DAA" w:rsidP="000043C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>Галузь (секто</w:t>
      </w:r>
      <w:r w:rsidR="004819E0"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>р) для публічного інвестування -</w:t>
      </w: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043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Освіта і наука</w:t>
      </w:r>
    </w:p>
    <w:p w14:paraId="705FB9A4" w14:textId="40E2F4FF" w:rsidR="00A843A7" w:rsidRPr="000043CA" w:rsidRDefault="00CF7DAA" w:rsidP="000043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Відповідальний за галузь (секто</w:t>
      </w:r>
      <w:r w:rsidR="004819E0"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р) для публічного інвестування -</w:t>
      </w:r>
      <w:r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843A7"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Відділ освіти, молоді та спорту Новгород-Сіверської міської ради</w:t>
      </w:r>
      <w:r w:rsidR="003C13A7"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Чернігівської області</w:t>
      </w:r>
    </w:p>
    <w:p w14:paraId="69BAB243" w14:textId="40A566C4" w:rsidR="001A663C" w:rsidRPr="000043CA" w:rsidRDefault="00CF7DAA" w:rsidP="000043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Граничний сукупний обсяг публічних інвестицій на середньостроковий період </w:t>
      </w:r>
      <w:r w:rsidR="000A5DDA"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E506FA"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44 048,5</w:t>
      </w:r>
      <w:r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тис. </w:t>
      </w: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004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рн</w:t>
      </w:r>
    </w:p>
    <w:p w14:paraId="24643609" w14:textId="77777777" w:rsidR="000A5DDA" w:rsidRPr="00A5224A" w:rsidRDefault="000A5DDA" w:rsidP="000043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6"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1836"/>
        <w:gridCol w:w="1275"/>
        <w:gridCol w:w="3531"/>
        <w:gridCol w:w="1036"/>
        <w:gridCol w:w="698"/>
        <w:gridCol w:w="2912"/>
      </w:tblGrid>
      <w:tr w:rsidR="000A5DDA" w:rsidRPr="000043CA" w14:paraId="69BE52E7" w14:textId="77777777" w:rsidTr="00A5224A">
        <w:trPr>
          <w:jc w:val="center"/>
        </w:trPr>
        <w:tc>
          <w:tcPr>
            <w:tcW w:w="3498" w:type="dxa"/>
          </w:tcPr>
          <w:p w14:paraId="58814E3B" w14:textId="1538300D" w:rsidR="000A5DDA" w:rsidRPr="000043CA" w:rsidRDefault="000A5DDA" w:rsidP="000043CA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</w:t>
            </w:r>
          </w:p>
        </w:tc>
        <w:tc>
          <w:tcPr>
            <w:tcW w:w="1836" w:type="dxa"/>
          </w:tcPr>
          <w:p w14:paraId="27983213" w14:textId="77777777" w:rsidR="000A5DDA" w:rsidRPr="000043CA" w:rsidRDefault="000A5DDA" w:rsidP="000043CA">
            <w:pPr>
              <w:pStyle w:val="a8"/>
              <w:ind w:left="-142" w:right="-1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Діючі проекти/</w:t>
            </w:r>
          </w:p>
          <w:p w14:paraId="73A320E5" w14:textId="14C5C418" w:rsidR="000A5DDA" w:rsidRPr="000043CA" w:rsidRDefault="000A5DDA" w:rsidP="000043CA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1275" w:type="dxa"/>
          </w:tcPr>
          <w:p w14:paraId="5431EDDF" w14:textId="0200813F" w:rsidR="000A5DDA" w:rsidRPr="000043CA" w:rsidRDefault="000A5DDA" w:rsidP="000043CA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Підсектор</w:t>
            </w:r>
          </w:p>
        </w:tc>
        <w:tc>
          <w:tcPr>
            <w:tcW w:w="3531" w:type="dxa"/>
          </w:tcPr>
          <w:p w14:paraId="1A7F6772" w14:textId="686B0E06" w:rsidR="000A5DDA" w:rsidRPr="000043CA" w:rsidRDefault="000A5DDA" w:rsidP="000043CA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Цільовий показник</w:t>
            </w:r>
          </w:p>
        </w:tc>
        <w:tc>
          <w:tcPr>
            <w:tcW w:w="1036" w:type="dxa"/>
          </w:tcPr>
          <w:p w14:paraId="24B03551" w14:textId="6E05E89A" w:rsidR="000A5DDA" w:rsidRPr="000043CA" w:rsidRDefault="000A5DDA" w:rsidP="000043CA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Базове значення</w:t>
            </w:r>
          </w:p>
        </w:tc>
        <w:tc>
          <w:tcPr>
            <w:tcW w:w="698" w:type="dxa"/>
          </w:tcPr>
          <w:p w14:paraId="16FA210C" w14:textId="73B9466A" w:rsidR="000A5DDA" w:rsidRPr="000043CA" w:rsidRDefault="000A5DDA" w:rsidP="000043CA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 2028</w:t>
            </w:r>
          </w:p>
        </w:tc>
        <w:tc>
          <w:tcPr>
            <w:tcW w:w="2912" w:type="dxa"/>
          </w:tcPr>
          <w:p w14:paraId="14D27AD1" w14:textId="25CF550F" w:rsidR="000A5DDA" w:rsidRPr="000043CA" w:rsidRDefault="000A5DDA" w:rsidP="000043CA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Стратегія</w:t>
            </w:r>
          </w:p>
        </w:tc>
      </w:tr>
      <w:tr w:rsidR="000A5DDA" w:rsidRPr="000043CA" w14:paraId="2CA69ECF" w14:textId="77777777" w:rsidTr="00A5224A">
        <w:trPr>
          <w:jc w:val="center"/>
        </w:trPr>
        <w:tc>
          <w:tcPr>
            <w:tcW w:w="3498" w:type="dxa"/>
          </w:tcPr>
          <w:p w14:paraId="2A1D3D72" w14:textId="645DADF9" w:rsidR="000A5DDA" w:rsidRPr="000043CA" w:rsidRDefault="000A5DDA" w:rsidP="000043CA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Облаштування безпечних умов у закладах, що надають загальну середню освіту (протипожежний захист)</w:t>
            </w:r>
          </w:p>
        </w:tc>
        <w:tc>
          <w:tcPr>
            <w:tcW w:w="1836" w:type="dxa"/>
          </w:tcPr>
          <w:p w14:paraId="3ECB0CB7" w14:textId="77777777" w:rsidR="000A5DDA" w:rsidRPr="000043CA" w:rsidRDefault="000A5DDA" w:rsidP="000043CA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0EB39B34" w14:textId="78E807A4" w:rsidR="000A5DDA" w:rsidRPr="000043CA" w:rsidRDefault="000A5DDA" w:rsidP="000043CA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Шкільна освіта</w:t>
            </w:r>
          </w:p>
        </w:tc>
        <w:tc>
          <w:tcPr>
            <w:tcW w:w="3531" w:type="dxa"/>
          </w:tcPr>
          <w:p w14:paraId="1B55E1C0" w14:textId="787A04C7" w:rsidR="000A5DDA" w:rsidRPr="000043CA" w:rsidRDefault="000A5DDA" w:rsidP="000043CA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закладів, в яких покращено протипожежний захист</w:t>
            </w:r>
          </w:p>
        </w:tc>
        <w:tc>
          <w:tcPr>
            <w:tcW w:w="1036" w:type="dxa"/>
          </w:tcPr>
          <w:p w14:paraId="48C23DA5" w14:textId="7C163D33" w:rsidR="000A5DDA" w:rsidRPr="000043CA" w:rsidRDefault="000A5DDA" w:rsidP="000043CA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98" w:type="dxa"/>
          </w:tcPr>
          <w:p w14:paraId="5EC3B3F0" w14:textId="7C36D7EB" w:rsidR="000A5DDA" w:rsidRPr="000043CA" w:rsidRDefault="000A5DDA" w:rsidP="000043CA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12" w:type="dxa"/>
          </w:tcPr>
          <w:p w14:paraId="5F063F17" w14:textId="77777777" w:rsidR="000A5DDA" w:rsidRPr="000043CA" w:rsidRDefault="000A5DDA" w:rsidP="000043CA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20" w:after="20"/>
              <w:ind w:right="-102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Стратегія сталого розвитку Новгород-Сіверської міської територіальної</w:t>
            </w:r>
          </w:p>
          <w:p w14:paraId="14DAE597" w14:textId="208654A3" w:rsidR="000043CA" w:rsidRPr="00A5224A" w:rsidRDefault="000A5DDA" w:rsidP="000043CA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громади на 2021-2029 роки</w:t>
            </w:r>
          </w:p>
        </w:tc>
      </w:tr>
      <w:tr w:rsidR="000A5DDA" w:rsidRPr="000043CA" w14:paraId="04328A26" w14:textId="77777777" w:rsidTr="00A5224A">
        <w:trPr>
          <w:jc w:val="center"/>
        </w:trPr>
        <w:tc>
          <w:tcPr>
            <w:tcW w:w="3498" w:type="dxa"/>
          </w:tcPr>
          <w:p w14:paraId="56D05C23" w14:textId="77777777" w:rsidR="000A5DDA" w:rsidRDefault="000A5DDA" w:rsidP="000043CA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Забезпечення закладів загальної середньої освіти засобами навчання та обладнанням в межах впровадження реформи «Нова українська школа»</w:t>
            </w:r>
          </w:p>
          <w:p w14:paraId="0F273395" w14:textId="6E3A8A16" w:rsidR="00A5224A" w:rsidRPr="000043CA" w:rsidRDefault="00A5224A" w:rsidP="000043CA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6" w:type="dxa"/>
          </w:tcPr>
          <w:p w14:paraId="6DF2A06F" w14:textId="77777777" w:rsidR="000A5DDA" w:rsidRPr="000043CA" w:rsidRDefault="000A5DDA" w:rsidP="000043CA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1001C334" w14:textId="29BDA5A5" w:rsidR="000A5DDA" w:rsidRPr="000043CA" w:rsidRDefault="000A5DDA" w:rsidP="000043CA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Шкільна освіта</w:t>
            </w:r>
          </w:p>
        </w:tc>
        <w:tc>
          <w:tcPr>
            <w:tcW w:w="3531" w:type="dxa"/>
          </w:tcPr>
          <w:p w14:paraId="2EAA658D" w14:textId="6B8871F9" w:rsidR="000A5DDA" w:rsidRPr="000043CA" w:rsidRDefault="000A5DDA" w:rsidP="000043CA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класів, які облаштовані засобами навчання відповідно до концепції НУШ</w:t>
            </w:r>
          </w:p>
        </w:tc>
        <w:tc>
          <w:tcPr>
            <w:tcW w:w="1036" w:type="dxa"/>
          </w:tcPr>
          <w:p w14:paraId="5A06ACE2" w14:textId="6C893EC9" w:rsidR="000A5DDA" w:rsidRPr="000043CA" w:rsidRDefault="000A5DDA" w:rsidP="000043CA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98" w:type="dxa"/>
          </w:tcPr>
          <w:p w14:paraId="4D235210" w14:textId="683AA36C" w:rsidR="000A5DDA" w:rsidRPr="000043CA" w:rsidRDefault="000A5DDA" w:rsidP="000043CA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912" w:type="dxa"/>
          </w:tcPr>
          <w:p w14:paraId="5F10023B" w14:textId="2C9C508F" w:rsidR="000A5DDA" w:rsidRPr="000043CA" w:rsidRDefault="000A5DDA" w:rsidP="000043CA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Державна стратегія регіонального розвитку на 2021-2027 роки</w:t>
            </w:r>
          </w:p>
        </w:tc>
      </w:tr>
      <w:tr w:rsidR="00A5224A" w:rsidRPr="000043CA" w14:paraId="2865B04B" w14:textId="77777777" w:rsidTr="000A7794">
        <w:trPr>
          <w:jc w:val="center"/>
        </w:trPr>
        <w:tc>
          <w:tcPr>
            <w:tcW w:w="3498" w:type="dxa"/>
          </w:tcPr>
          <w:p w14:paraId="46DDBA63" w14:textId="77777777" w:rsidR="00A5224A" w:rsidRPr="000043CA" w:rsidRDefault="00A5224A" w:rsidP="000A779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Безперешк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одний доступ до якісної освіти </w:t>
            </w: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(придбання шкільних  автобусів)</w:t>
            </w:r>
          </w:p>
        </w:tc>
        <w:tc>
          <w:tcPr>
            <w:tcW w:w="1836" w:type="dxa"/>
          </w:tcPr>
          <w:p w14:paraId="43443F68" w14:textId="77777777" w:rsidR="00A5224A" w:rsidRPr="000043CA" w:rsidRDefault="00A5224A" w:rsidP="000A779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2C4151A6" w14:textId="77777777" w:rsidR="00A5224A" w:rsidRPr="000043CA" w:rsidRDefault="00A5224A" w:rsidP="000A779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Шкільна освіта</w:t>
            </w:r>
          </w:p>
        </w:tc>
        <w:tc>
          <w:tcPr>
            <w:tcW w:w="3531" w:type="dxa"/>
          </w:tcPr>
          <w:p w14:paraId="60E6111D" w14:textId="77777777" w:rsidR="00A5224A" w:rsidRPr="000043CA" w:rsidRDefault="00A5224A" w:rsidP="000A779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придбаних шкільних автобусів (у</w:t>
            </w: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тому числі для перевезення дітей з обмеженими фізичними можливостями) </w:t>
            </w:r>
          </w:p>
        </w:tc>
        <w:tc>
          <w:tcPr>
            <w:tcW w:w="1036" w:type="dxa"/>
          </w:tcPr>
          <w:p w14:paraId="752B6E22" w14:textId="77777777" w:rsidR="00A5224A" w:rsidRPr="000043CA" w:rsidRDefault="00A5224A" w:rsidP="000A779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98" w:type="dxa"/>
          </w:tcPr>
          <w:p w14:paraId="1E2CFE12" w14:textId="77777777" w:rsidR="00A5224A" w:rsidRPr="000043CA" w:rsidRDefault="00A5224A" w:rsidP="000A779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12" w:type="dxa"/>
          </w:tcPr>
          <w:p w14:paraId="3F1BCBC9" w14:textId="77777777" w:rsidR="00A5224A" w:rsidRPr="000043CA" w:rsidRDefault="00A5224A" w:rsidP="000A779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Державна стратегія регіонального розвитку на 2021-2027 роки </w:t>
            </w:r>
          </w:p>
        </w:tc>
      </w:tr>
      <w:tr w:rsidR="000A5DDA" w:rsidRPr="000043CA" w14:paraId="45A0BF3D" w14:textId="77777777" w:rsidTr="00A5224A">
        <w:trPr>
          <w:jc w:val="center"/>
        </w:trPr>
        <w:tc>
          <w:tcPr>
            <w:tcW w:w="3498" w:type="dxa"/>
          </w:tcPr>
          <w:p w14:paraId="426AA997" w14:textId="35CC2563" w:rsidR="000A5DDA" w:rsidRPr="000043CA" w:rsidRDefault="000A5DDA" w:rsidP="000043CA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Забезпечення доступу до якісного та безпечного харчування у закладах освіти шляхом розвит</w:t>
            </w: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 сучасної інфраструктури їдале</w:t>
            </w: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нь (харчоблоків)</w:t>
            </w:r>
          </w:p>
        </w:tc>
        <w:tc>
          <w:tcPr>
            <w:tcW w:w="1836" w:type="dxa"/>
          </w:tcPr>
          <w:p w14:paraId="10F8DF06" w14:textId="77777777" w:rsidR="000A5DDA" w:rsidRPr="000043CA" w:rsidRDefault="000A5DDA" w:rsidP="000043CA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3690A280" w14:textId="2980E2BD" w:rsidR="000A5DDA" w:rsidRPr="000043CA" w:rsidRDefault="000A5DDA" w:rsidP="000043CA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Шкільна освіта</w:t>
            </w:r>
          </w:p>
        </w:tc>
        <w:tc>
          <w:tcPr>
            <w:tcW w:w="3531" w:type="dxa"/>
          </w:tcPr>
          <w:p w14:paraId="65B6E09D" w14:textId="50874094" w:rsidR="000A5DDA" w:rsidRPr="000043CA" w:rsidRDefault="000A5DDA" w:rsidP="000043CA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закладів, в яких проведено реконструкцію харчоблоків</w:t>
            </w:r>
          </w:p>
        </w:tc>
        <w:tc>
          <w:tcPr>
            <w:tcW w:w="1036" w:type="dxa"/>
          </w:tcPr>
          <w:p w14:paraId="33D3D841" w14:textId="6FC55863" w:rsidR="000A5DDA" w:rsidRPr="000043CA" w:rsidRDefault="000A5DDA" w:rsidP="000043CA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8" w:type="dxa"/>
          </w:tcPr>
          <w:p w14:paraId="611BFAB2" w14:textId="00DCBA04" w:rsidR="000A5DDA" w:rsidRPr="000043CA" w:rsidRDefault="000A5DDA" w:rsidP="000043CA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12" w:type="dxa"/>
          </w:tcPr>
          <w:p w14:paraId="2ED8DC3C" w14:textId="77777777" w:rsidR="000A5DDA" w:rsidRPr="000043CA" w:rsidRDefault="000A5DDA" w:rsidP="000043CA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20" w:after="20"/>
              <w:ind w:right="-102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Стратегія сталого розвитку Новгород-Сіверської міської територіальної</w:t>
            </w:r>
          </w:p>
          <w:p w14:paraId="096D6AA4" w14:textId="5085A6CA" w:rsidR="000A5DDA" w:rsidRPr="000043CA" w:rsidRDefault="000A5DDA" w:rsidP="000043CA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громади на 2021-2029 роки</w:t>
            </w:r>
          </w:p>
        </w:tc>
      </w:tr>
    </w:tbl>
    <w:p w14:paraId="3A5599B8" w14:textId="77777777" w:rsidR="001A663C" w:rsidRPr="00A5224A" w:rsidRDefault="001A663C" w:rsidP="00A5224A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097BD995" w14:textId="00D03D5F" w:rsidR="001A663C" w:rsidRPr="000043CA" w:rsidRDefault="00CF7DAA" w:rsidP="000043C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>Галузь (секто</w:t>
      </w:r>
      <w:r w:rsidR="00740FEE"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>р) для публічного інвестування -</w:t>
      </w: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043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Муніципальна інфраструктура та послуги</w:t>
      </w:r>
    </w:p>
    <w:p w14:paraId="1C63AA54" w14:textId="489570C5" w:rsidR="00EC707F" w:rsidRPr="000043CA" w:rsidRDefault="00CF7DAA" w:rsidP="000043CA">
      <w:pPr>
        <w:widowControl w:val="0"/>
        <w:spacing w:before="26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Відповідальний за галузь (сектор) для публічного інвестування </w:t>
      </w:r>
      <w:r w:rsidR="00740FEE"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707F"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 житлово-комунального господарства Новгород-Сіверської міської ради </w:t>
      </w:r>
      <w:r w:rsidR="00740FEE"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області</w:t>
      </w:r>
    </w:p>
    <w:p w14:paraId="73232EED" w14:textId="3D5734CC" w:rsidR="001A663C" w:rsidRPr="000043CA" w:rsidRDefault="00CF7DAA" w:rsidP="000043CA">
      <w:pPr>
        <w:widowControl w:val="0"/>
        <w:spacing w:before="2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>Граничний сукупний обсяг публічних інвестиц</w:t>
      </w:r>
      <w:r w:rsidR="00740FEE"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ій на середньостроковий період </w:t>
      </w:r>
      <w:r w:rsidR="00A5224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506FA"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>36 000,0</w:t>
      </w: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тис. грн</w:t>
      </w:r>
    </w:p>
    <w:p w14:paraId="27CC25EC" w14:textId="5406E866" w:rsidR="001A663C" w:rsidRPr="00A5224A" w:rsidRDefault="001A663C" w:rsidP="002F3D84">
      <w:pPr>
        <w:widowControl w:val="0"/>
        <w:spacing w:before="1" w:after="30" w:line="240" w:lineRule="auto"/>
        <w:rPr>
          <w:rFonts w:ascii="Times New Roman" w:eastAsia="Times New Roman" w:hAnsi="Times New Roman" w:cs="Times New Roman"/>
          <w:sz w:val="14"/>
          <w:szCs w:val="14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889"/>
        <w:gridCol w:w="2088"/>
        <w:gridCol w:w="2685"/>
        <w:gridCol w:w="1134"/>
        <w:gridCol w:w="709"/>
        <w:gridCol w:w="3196"/>
      </w:tblGrid>
      <w:tr w:rsidR="002F3D84" w:rsidRPr="000043CA" w14:paraId="63E9C400" w14:textId="77777777" w:rsidTr="002F3D84">
        <w:trPr>
          <w:jc w:val="center"/>
        </w:trPr>
        <w:tc>
          <w:tcPr>
            <w:tcW w:w="3085" w:type="dxa"/>
          </w:tcPr>
          <w:p w14:paraId="2F22BA03" w14:textId="77777777" w:rsidR="002F3D84" w:rsidRPr="000043CA" w:rsidRDefault="002F3D84" w:rsidP="000A779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</w:t>
            </w:r>
          </w:p>
        </w:tc>
        <w:tc>
          <w:tcPr>
            <w:tcW w:w="1889" w:type="dxa"/>
          </w:tcPr>
          <w:p w14:paraId="6246D809" w14:textId="77777777" w:rsidR="002F3D84" w:rsidRPr="000043CA" w:rsidRDefault="002F3D84" w:rsidP="000A7794">
            <w:pPr>
              <w:pStyle w:val="a8"/>
              <w:ind w:left="-142" w:right="-1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Діючі проекти/</w:t>
            </w:r>
          </w:p>
          <w:p w14:paraId="52DAAE08" w14:textId="77777777" w:rsidR="002F3D84" w:rsidRPr="000043CA" w:rsidRDefault="002F3D84" w:rsidP="000A779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2088" w:type="dxa"/>
          </w:tcPr>
          <w:p w14:paraId="2A533DCD" w14:textId="77777777" w:rsidR="002F3D84" w:rsidRPr="000043CA" w:rsidRDefault="002F3D84" w:rsidP="000A779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Підсектор</w:t>
            </w:r>
          </w:p>
        </w:tc>
        <w:tc>
          <w:tcPr>
            <w:tcW w:w="2685" w:type="dxa"/>
          </w:tcPr>
          <w:p w14:paraId="5676B398" w14:textId="77777777" w:rsidR="002F3D84" w:rsidRPr="000043CA" w:rsidRDefault="002F3D84" w:rsidP="000A779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Цільовий показник</w:t>
            </w:r>
          </w:p>
        </w:tc>
        <w:tc>
          <w:tcPr>
            <w:tcW w:w="1134" w:type="dxa"/>
          </w:tcPr>
          <w:p w14:paraId="22D4AB0F" w14:textId="77777777" w:rsidR="002F3D84" w:rsidRPr="000043CA" w:rsidRDefault="002F3D84" w:rsidP="000A779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Базове значення</w:t>
            </w:r>
          </w:p>
        </w:tc>
        <w:tc>
          <w:tcPr>
            <w:tcW w:w="709" w:type="dxa"/>
          </w:tcPr>
          <w:p w14:paraId="53B313F2" w14:textId="77777777" w:rsidR="002F3D84" w:rsidRPr="000043CA" w:rsidRDefault="002F3D84" w:rsidP="000A779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 2028</w:t>
            </w:r>
          </w:p>
        </w:tc>
        <w:tc>
          <w:tcPr>
            <w:tcW w:w="3196" w:type="dxa"/>
          </w:tcPr>
          <w:p w14:paraId="18111F48" w14:textId="77777777" w:rsidR="002F3D84" w:rsidRPr="000043CA" w:rsidRDefault="002F3D84" w:rsidP="000A779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Стратегія</w:t>
            </w:r>
          </w:p>
        </w:tc>
      </w:tr>
      <w:tr w:rsidR="002F3D84" w:rsidRPr="000043CA" w14:paraId="4B82691A" w14:textId="77777777" w:rsidTr="002F3D84">
        <w:trPr>
          <w:jc w:val="center"/>
        </w:trPr>
        <w:tc>
          <w:tcPr>
            <w:tcW w:w="3085" w:type="dxa"/>
          </w:tcPr>
          <w:p w14:paraId="1A1132B5" w14:textId="0AA07C8D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Розвиток громадських просторів та соціальної інфраструктури для  підвищення рівня соціальної згуртованості</w:t>
            </w:r>
          </w:p>
        </w:tc>
        <w:tc>
          <w:tcPr>
            <w:tcW w:w="1889" w:type="dxa"/>
          </w:tcPr>
          <w:p w14:paraId="20D30327" w14:textId="77777777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8" w:type="dxa"/>
          </w:tcPr>
          <w:p w14:paraId="5A2CA7E3" w14:textId="49D6E20C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Містобудування, благоустрій</w:t>
            </w:r>
          </w:p>
        </w:tc>
        <w:tc>
          <w:tcPr>
            <w:tcW w:w="2685" w:type="dxa"/>
          </w:tcPr>
          <w:p w14:paraId="7E319C8F" w14:textId="53AAC25F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облаштованих або модернізованих публічних просторів</w:t>
            </w:r>
          </w:p>
        </w:tc>
        <w:tc>
          <w:tcPr>
            <w:tcW w:w="1134" w:type="dxa"/>
          </w:tcPr>
          <w:p w14:paraId="505005C5" w14:textId="58EF9273" w:rsidR="002F3D84" w:rsidRPr="000043CA" w:rsidRDefault="002F3D84" w:rsidP="002F3D8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28FA3F18" w14:textId="79D21ABE" w:rsidR="002F3D84" w:rsidRPr="000043CA" w:rsidRDefault="002F3D84" w:rsidP="002F3D8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96" w:type="dxa"/>
          </w:tcPr>
          <w:p w14:paraId="23533E1B" w14:textId="7824DF10" w:rsidR="002F3D84" w:rsidRPr="002F3D84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Стратегія сталого розвитку Новгород-Сіверської міської територіальної громади на 2021-2029 роки</w:t>
            </w:r>
          </w:p>
        </w:tc>
      </w:tr>
      <w:tr w:rsidR="002F3D84" w:rsidRPr="000043CA" w14:paraId="010E31B8" w14:textId="77777777" w:rsidTr="002F3D84">
        <w:trPr>
          <w:jc w:val="center"/>
        </w:trPr>
        <w:tc>
          <w:tcPr>
            <w:tcW w:w="3085" w:type="dxa"/>
          </w:tcPr>
          <w:p w14:paraId="6506D55F" w14:textId="4A28231C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Модернізація та розвиток адміністративної інфраструктури громади</w:t>
            </w:r>
          </w:p>
        </w:tc>
        <w:tc>
          <w:tcPr>
            <w:tcW w:w="1889" w:type="dxa"/>
          </w:tcPr>
          <w:p w14:paraId="52348FED" w14:textId="77777777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8" w:type="dxa"/>
          </w:tcPr>
          <w:p w14:paraId="45825EF3" w14:textId="00D7CC62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Містобудування, благоустрій</w:t>
            </w:r>
          </w:p>
        </w:tc>
        <w:tc>
          <w:tcPr>
            <w:tcW w:w="2685" w:type="dxa"/>
          </w:tcPr>
          <w:p w14:paraId="358160AD" w14:textId="71C86B98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створених, реконструйованих та модернізованих адміністративних приміщень</w:t>
            </w:r>
          </w:p>
        </w:tc>
        <w:tc>
          <w:tcPr>
            <w:tcW w:w="1134" w:type="dxa"/>
          </w:tcPr>
          <w:p w14:paraId="3F66A2DE" w14:textId="30D49591" w:rsidR="002F3D84" w:rsidRPr="000043CA" w:rsidRDefault="002F3D84" w:rsidP="002F3D8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</w:tcPr>
          <w:p w14:paraId="5F82E634" w14:textId="667A978B" w:rsidR="002F3D84" w:rsidRPr="000043CA" w:rsidRDefault="002F3D84" w:rsidP="002F3D8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96" w:type="dxa"/>
          </w:tcPr>
          <w:p w14:paraId="0C284C92" w14:textId="08148E5C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Стратегія сталого розвитку Новгород-Сіверської міської територіальної громади на 2021-2029 роки</w:t>
            </w:r>
          </w:p>
        </w:tc>
      </w:tr>
    </w:tbl>
    <w:p w14:paraId="47145D80" w14:textId="45A5AAC3" w:rsidR="001A663C" w:rsidRPr="000043CA" w:rsidRDefault="00CF7DAA" w:rsidP="000043CA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Галузь (секто</w:t>
      </w:r>
      <w:r w:rsidR="00740FEE"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>р) для публічного інвестування -</w:t>
      </w: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3C11" w:rsidRPr="000043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Культура т</w:t>
      </w:r>
      <w:bookmarkStart w:id="0" w:name="_GoBack"/>
      <w:bookmarkEnd w:id="0"/>
      <w:r w:rsidR="00BD3C11" w:rsidRPr="000043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 інформація</w:t>
      </w:r>
    </w:p>
    <w:p w14:paraId="7353DFCC" w14:textId="5076C08C" w:rsidR="001A663C" w:rsidRPr="000043CA" w:rsidRDefault="00CF7DAA" w:rsidP="000043CA">
      <w:pPr>
        <w:widowControl w:val="0"/>
        <w:spacing w:before="26"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Відповідальний структурний підрозділ за галузь (секто</w:t>
      </w:r>
      <w:r w:rsidR="00740FEE"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>р) для публічного інвестування -</w:t>
      </w: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3C11"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 культури і туризму Новгород-Сіверської міської ради</w:t>
      </w:r>
      <w:r w:rsidR="00740FEE"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</w:p>
    <w:p w14:paraId="2D9CA161" w14:textId="4408B0F0" w:rsidR="001A663C" w:rsidRPr="000043CA" w:rsidRDefault="00CF7DAA" w:rsidP="000043CA">
      <w:pPr>
        <w:widowControl w:val="0"/>
        <w:spacing w:before="26"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>Граничний сукупний обсяг публічних інвестиц</w:t>
      </w:r>
      <w:r w:rsidR="00740FEE"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ій на середньостроковий період </w:t>
      </w:r>
      <w:r w:rsidR="00E506FA"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506FA"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>10 645,27</w:t>
      </w: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тис. грн</w:t>
      </w:r>
    </w:p>
    <w:p w14:paraId="3478927B" w14:textId="39D5FDDF" w:rsidR="00740FEE" w:rsidRPr="00A5224A" w:rsidRDefault="00740FEE" w:rsidP="00A5224A">
      <w:pPr>
        <w:pStyle w:val="a8"/>
        <w:rPr>
          <w:rFonts w:ascii="Times New Roman" w:hAnsi="Times New Roman" w:cs="Times New Roman"/>
          <w:sz w:val="14"/>
          <w:szCs w:val="14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16"/>
        <w:gridCol w:w="1809"/>
        <w:gridCol w:w="1339"/>
        <w:gridCol w:w="4298"/>
        <w:gridCol w:w="1129"/>
        <w:gridCol w:w="700"/>
        <w:gridCol w:w="2995"/>
      </w:tblGrid>
      <w:tr w:rsidR="002F3D84" w:rsidRPr="000043CA" w14:paraId="0B7CFAB3" w14:textId="77777777" w:rsidTr="002F3D84">
        <w:trPr>
          <w:jc w:val="center"/>
        </w:trPr>
        <w:tc>
          <w:tcPr>
            <w:tcW w:w="2518" w:type="dxa"/>
          </w:tcPr>
          <w:p w14:paraId="1B93D1B6" w14:textId="77777777" w:rsidR="002F3D84" w:rsidRPr="000043CA" w:rsidRDefault="002F3D84" w:rsidP="000A779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</w:t>
            </w:r>
          </w:p>
        </w:tc>
        <w:tc>
          <w:tcPr>
            <w:tcW w:w="1843" w:type="dxa"/>
          </w:tcPr>
          <w:p w14:paraId="10E0EB64" w14:textId="77777777" w:rsidR="002F3D84" w:rsidRPr="000043CA" w:rsidRDefault="002F3D84" w:rsidP="000A7794">
            <w:pPr>
              <w:pStyle w:val="a8"/>
              <w:ind w:left="-142" w:right="-1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Діючі проекти/</w:t>
            </w:r>
          </w:p>
          <w:p w14:paraId="1FB31E9E" w14:textId="77777777" w:rsidR="002F3D84" w:rsidRPr="000043CA" w:rsidRDefault="002F3D84" w:rsidP="000A779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1134" w:type="dxa"/>
          </w:tcPr>
          <w:p w14:paraId="35AA4B39" w14:textId="77777777" w:rsidR="002F3D84" w:rsidRPr="000043CA" w:rsidRDefault="002F3D84" w:rsidP="000A779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Підсектор</w:t>
            </w:r>
          </w:p>
        </w:tc>
        <w:tc>
          <w:tcPr>
            <w:tcW w:w="4404" w:type="dxa"/>
          </w:tcPr>
          <w:p w14:paraId="6114898B" w14:textId="77777777" w:rsidR="002F3D84" w:rsidRPr="000043CA" w:rsidRDefault="002F3D84" w:rsidP="000A779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Цільовий показник</w:t>
            </w:r>
          </w:p>
        </w:tc>
        <w:tc>
          <w:tcPr>
            <w:tcW w:w="1133" w:type="dxa"/>
          </w:tcPr>
          <w:p w14:paraId="6BED9068" w14:textId="77777777" w:rsidR="002F3D84" w:rsidRPr="000043CA" w:rsidRDefault="002F3D84" w:rsidP="000A779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Базове значення</w:t>
            </w:r>
          </w:p>
        </w:tc>
        <w:tc>
          <w:tcPr>
            <w:tcW w:w="708" w:type="dxa"/>
          </w:tcPr>
          <w:p w14:paraId="13C9C9BD" w14:textId="77777777" w:rsidR="002F3D84" w:rsidRPr="000043CA" w:rsidRDefault="002F3D84" w:rsidP="000A779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 2028</w:t>
            </w:r>
          </w:p>
        </w:tc>
        <w:tc>
          <w:tcPr>
            <w:tcW w:w="3046" w:type="dxa"/>
          </w:tcPr>
          <w:p w14:paraId="3F4D1720" w14:textId="77777777" w:rsidR="002F3D84" w:rsidRPr="000043CA" w:rsidRDefault="002F3D84" w:rsidP="000A779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Стратегія</w:t>
            </w:r>
          </w:p>
        </w:tc>
      </w:tr>
      <w:tr w:rsidR="002F3D84" w:rsidRPr="000043CA" w14:paraId="5E7A58D4" w14:textId="77777777" w:rsidTr="002F3D84">
        <w:trPr>
          <w:jc w:val="center"/>
        </w:trPr>
        <w:tc>
          <w:tcPr>
            <w:tcW w:w="2518" w:type="dxa"/>
            <w:vMerge w:val="restart"/>
          </w:tcPr>
          <w:p w14:paraId="54AA50DC" w14:textId="741A20AD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Забезпечення енергоефективності та безпеки комунальних закладів культури</w:t>
            </w:r>
          </w:p>
        </w:tc>
        <w:tc>
          <w:tcPr>
            <w:tcW w:w="1843" w:type="dxa"/>
            <w:vMerge w:val="restart"/>
          </w:tcPr>
          <w:p w14:paraId="24ECEBBA" w14:textId="77777777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301C1650" w14:textId="6AF3C9E6" w:rsidR="002F3D84" w:rsidRPr="000043CA" w:rsidRDefault="00C77D4D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Культурні послуги</w:t>
            </w:r>
          </w:p>
        </w:tc>
        <w:tc>
          <w:tcPr>
            <w:tcW w:w="4404" w:type="dxa"/>
          </w:tcPr>
          <w:p w14:paraId="4090C970" w14:textId="05675306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закладів культури, в яких встановлено пожежні сигналізації</w:t>
            </w:r>
          </w:p>
        </w:tc>
        <w:tc>
          <w:tcPr>
            <w:tcW w:w="1133" w:type="dxa"/>
          </w:tcPr>
          <w:p w14:paraId="0D8CA761" w14:textId="67E8D376" w:rsidR="002F3D84" w:rsidRPr="000043CA" w:rsidRDefault="002F3D84" w:rsidP="002F3D8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</w:tcPr>
          <w:p w14:paraId="67FDF7F9" w14:textId="6A053E3D" w:rsidR="002F3D84" w:rsidRPr="000043CA" w:rsidRDefault="002F3D84" w:rsidP="002F3D8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46" w:type="dxa"/>
            <w:vMerge w:val="restart"/>
          </w:tcPr>
          <w:p w14:paraId="151EED17" w14:textId="6CF6627F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Стратегія сталого розвитку Новгород-Сіверської міської територіальної громади на 2021-2029 роки</w:t>
            </w:r>
          </w:p>
        </w:tc>
      </w:tr>
      <w:tr w:rsidR="002F3D84" w:rsidRPr="000043CA" w14:paraId="5992B3E7" w14:textId="77777777" w:rsidTr="002F3D84">
        <w:trPr>
          <w:jc w:val="center"/>
        </w:trPr>
        <w:tc>
          <w:tcPr>
            <w:tcW w:w="2518" w:type="dxa"/>
            <w:vMerge/>
          </w:tcPr>
          <w:p w14:paraId="16AEB62D" w14:textId="08342F55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14:paraId="478FAB2C" w14:textId="77777777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</w:tcPr>
          <w:p w14:paraId="6DA6941E" w14:textId="2BA230BB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04" w:type="dxa"/>
          </w:tcPr>
          <w:p w14:paraId="2A8D3AA3" w14:textId="6631AB56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модернізованих закладів культури, в яких встановлено твердопаливні котельні</w:t>
            </w:r>
          </w:p>
        </w:tc>
        <w:tc>
          <w:tcPr>
            <w:tcW w:w="1133" w:type="dxa"/>
          </w:tcPr>
          <w:p w14:paraId="070F3CE2" w14:textId="1A86E1C7" w:rsidR="002F3D84" w:rsidRPr="000043CA" w:rsidRDefault="002F3D84" w:rsidP="002F3D8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</w:tcPr>
          <w:p w14:paraId="6E9F7062" w14:textId="43905979" w:rsidR="002F3D84" w:rsidRPr="000043CA" w:rsidRDefault="002F3D84" w:rsidP="002F3D84">
            <w:pPr>
              <w:widowControl w:val="0"/>
              <w:spacing w:before="26"/>
              <w:ind w:left="-14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46" w:type="dxa"/>
            <w:vMerge/>
          </w:tcPr>
          <w:p w14:paraId="4D373255" w14:textId="77777777" w:rsidR="002F3D84" w:rsidRPr="000043CA" w:rsidRDefault="002F3D84" w:rsidP="002F3D84">
            <w:pPr>
              <w:widowControl w:val="0"/>
              <w:spacing w:before="26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2B6E22D" w14:textId="77777777" w:rsidR="001A663C" w:rsidRPr="000043CA" w:rsidRDefault="001A663C" w:rsidP="000043CA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447BAB04" w14:textId="77777777" w:rsidR="00587BD9" w:rsidRPr="000043CA" w:rsidRDefault="00587BD9" w:rsidP="000043C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3CA">
        <w:rPr>
          <w:rFonts w:ascii="Times New Roman" w:hAnsi="Times New Roman" w:cs="Times New Roman"/>
          <w:sz w:val="28"/>
          <w:szCs w:val="28"/>
          <w:lang w:val="uk-UA"/>
        </w:rPr>
        <w:t xml:space="preserve">Галузь (сектор) для публічного інвестування - </w:t>
      </w:r>
      <w:r w:rsidRPr="000043CA">
        <w:rPr>
          <w:rFonts w:ascii="Times New Roman" w:hAnsi="Times New Roman" w:cs="Times New Roman"/>
          <w:b/>
          <w:sz w:val="28"/>
          <w:szCs w:val="28"/>
          <w:lang w:val="uk-UA"/>
        </w:rPr>
        <w:t>Довкілля</w:t>
      </w:r>
    </w:p>
    <w:p w14:paraId="575C93CA" w14:textId="77777777" w:rsidR="00587BD9" w:rsidRPr="000043CA" w:rsidRDefault="00587BD9" w:rsidP="000043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043CA">
        <w:rPr>
          <w:rFonts w:ascii="Times New Roman" w:hAnsi="Times New Roman" w:cs="Times New Roman"/>
          <w:sz w:val="28"/>
          <w:szCs w:val="28"/>
          <w:lang w:val="uk-UA"/>
        </w:rPr>
        <w:t>Відповідальний за галузь (сектор) для публічного інвестування - Відділ земельних відносин міської ради Новгород-Сіверської міської ради Чернігівської області</w:t>
      </w:r>
    </w:p>
    <w:p w14:paraId="063910D8" w14:textId="06BE49A7" w:rsidR="00E506FA" w:rsidRDefault="00E506FA" w:rsidP="000043CA">
      <w:pPr>
        <w:widowControl w:val="0"/>
        <w:spacing w:before="26"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Граничний сукупний обсяг публічних інвестицій на середньостроковий період </w:t>
      </w:r>
      <w:r w:rsidR="00A5224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04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9 100,0 тис. грн</w:t>
      </w:r>
    </w:p>
    <w:p w14:paraId="4D1C37CD" w14:textId="363AB286" w:rsidR="00A5224A" w:rsidRPr="00A5224A" w:rsidRDefault="00A5224A" w:rsidP="00A5224A">
      <w:pPr>
        <w:pStyle w:val="a8"/>
        <w:rPr>
          <w:rFonts w:ascii="Times New Roman" w:hAnsi="Times New Roman" w:cs="Times New Roman"/>
          <w:sz w:val="14"/>
          <w:szCs w:val="14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977"/>
        <w:gridCol w:w="1276"/>
        <w:gridCol w:w="2410"/>
        <w:gridCol w:w="1275"/>
        <w:gridCol w:w="709"/>
        <w:gridCol w:w="2629"/>
      </w:tblGrid>
      <w:tr w:rsidR="00C77D4D" w14:paraId="0B23BD91" w14:textId="77777777" w:rsidTr="00C77D4D">
        <w:tc>
          <w:tcPr>
            <w:tcW w:w="3510" w:type="dxa"/>
          </w:tcPr>
          <w:p w14:paraId="073AF738" w14:textId="42AA36BB" w:rsidR="00A5224A" w:rsidRDefault="00A5224A" w:rsidP="00C77D4D">
            <w:pPr>
              <w:pStyle w:val="a8"/>
              <w:ind w:left="-142" w:right="-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</w:t>
            </w:r>
          </w:p>
        </w:tc>
        <w:tc>
          <w:tcPr>
            <w:tcW w:w="2977" w:type="dxa"/>
          </w:tcPr>
          <w:p w14:paraId="170287C2" w14:textId="77777777" w:rsidR="00A5224A" w:rsidRPr="000043CA" w:rsidRDefault="00A5224A" w:rsidP="00C77D4D">
            <w:pPr>
              <w:pStyle w:val="a8"/>
              <w:ind w:left="-142" w:right="-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Діючі проекти/</w:t>
            </w:r>
          </w:p>
          <w:p w14:paraId="7C2AC6E7" w14:textId="571EED59" w:rsidR="00A5224A" w:rsidRDefault="00A5224A" w:rsidP="00C77D4D">
            <w:pPr>
              <w:pStyle w:val="a8"/>
              <w:ind w:left="-142" w:right="-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1276" w:type="dxa"/>
          </w:tcPr>
          <w:p w14:paraId="101D8887" w14:textId="5884614C" w:rsidR="00A5224A" w:rsidRDefault="00A5224A" w:rsidP="00C77D4D">
            <w:pPr>
              <w:pStyle w:val="a8"/>
              <w:ind w:left="-142" w:right="-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Підсектор</w:t>
            </w:r>
          </w:p>
        </w:tc>
        <w:tc>
          <w:tcPr>
            <w:tcW w:w="2410" w:type="dxa"/>
          </w:tcPr>
          <w:p w14:paraId="580B5937" w14:textId="69958503" w:rsidR="00A5224A" w:rsidRDefault="00A5224A" w:rsidP="00C77D4D">
            <w:pPr>
              <w:pStyle w:val="a8"/>
              <w:ind w:left="-142" w:right="-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Цільовий показник</w:t>
            </w:r>
          </w:p>
        </w:tc>
        <w:tc>
          <w:tcPr>
            <w:tcW w:w="1275" w:type="dxa"/>
          </w:tcPr>
          <w:p w14:paraId="466A7955" w14:textId="281CAD37" w:rsidR="00A5224A" w:rsidRDefault="00A5224A" w:rsidP="00C77D4D">
            <w:pPr>
              <w:pStyle w:val="a8"/>
              <w:ind w:left="-142" w:right="-10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Базове значення</w:t>
            </w:r>
          </w:p>
        </w:tc>
        <w:tc>
          <w:tcPr>
            <w:tcW w:w="709" w:type="dxa"/>
          </w:tcPr>
          <w:p w14:paraId="7DBD905C" w14:textId="6F2DEABF" w:rsidR="00A5224A" w:rsidRDefault="00A5224A" w:rsidP="00C77D4D">
            <w:pPr>
              <w:pStyle w:val="a8"/>
              <w:ind w:left="-142" w:right="-10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 2028</w:t>
            </w:r>
          </w:p>
        </w:tc>
        <w:tc>
          <w:tcPr>
            <w:tcW w:w="2629" w:type="dxa"/>
          </w:tcPr>
          <w:p w14:paraId="6C581B7F" w14:textId="4F93A470" w:rsidR="00A5224A" w:rsidRDefault="00A5224A" w:rsidP="00C77D4D">
            <w:pPr>
              <w:pStyle w:val="a8"/>
              <w:ind w:left="-142" w:right="-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Стратегія</w:t>
            </w:r>
          </w:p>
        </w:tc>
      </w:tr>
      <w:tr w:rsidR="00C77D4D" w14:paraId="20D36C51" w14:textId="77777777" w:rsidTr="00C77D4D">
        <w:tc>
          <w:tcPr>
            <w:tcW w:w="3510" w:type="dxa"/>
          </w:tcPr>
          <w:p w14:paraId="752C22D6" w14:textId="39CC06E3" w:rsidR="00A5224A" w:rsidRDefault="00A5224A" w:rsidP="00C77D4D">
            <w:pPr>
              <w:pStyle w:val="a8"/>
              <w:ind w:right="-9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захисту від шкідливої дії вод населених пунктів, виробничих об’єктів та сільськогосподарських угідь, створення безпечних умов життєдіяльності населення</w:t>
            </w:r>
          </w:p>
        </w:tc>
        <w:tc>
          <w:tcPr>
            <w:tcW w:w="2977" w:type="dxa"/>
          </w:tcPr>
          <w:p w14:paraId="394170AA" w14:textId="63311777" w:rsidR="00A5224A" w:rsidRDefault="00A5224A" w:rsidP="00C77D4D">
            <w:pPr>
              <w:pStyle w:val="a8"/>
              <w:ind w:right="-9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Програма охорони навколишнього природного середовища населених пунктів Новгород-Сіверської міської територіальної громади на 2026-2030 роки</w:t>
            </w:r>
          </w:p>
        </w:tc>
        <w:tc>
          <w:tcPr>
            <w:tcW w:w="1276" w:type="dxa"/>
          </w:tcPr>
          <w:p w14:paraId="1E8C0C97" w14:textId="6D5E2ABC" w:rsidR="00A5224A" w:rsidRDefault="00A5224A" w:rsidP="00C77D4D">
            <w:pPr>
              <w:pStyle w:val="a8"/>
              <w:ind w:right="-9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Охорона земель і ґрунтів</w:t>
            </w:r>
          </w:p>
        </w:tc>
        <w:tc>
          <w:tcPr>
            <w:tcW w:w="2410" w:type="dxa"/>
          </w:tcPr>
          <w:p w14:paraId="7DCBC6BB" w14:textId="724C7F87" w:rsidR="00A5224A" w:rsidRDefault="00A5224A" w:rsidP="00C77D4D">
            <w:pPr>
              <w:pStyle w:val="a8"/>
              <w:ind w:right="-9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побудованих/</w:t>
            </w:r>
            <w:r w:rsidR="00C77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відновлених/</w:t>
            </w:r>
            <w:r w:rsidR="00C77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реконструйованих водовідвідних, зливових споруд</w:t>
            </w:r>
          </w:p>
        </w:tc>
        <w:tc>
          <w:tcPr>
            <w:tcW w:w="1275" w:type="dxa"/>
          </w:tcPr>
          <w:p w14:paraId="0D93F7E3" w14:textId="4F74177C" w:rsidR="00A5224A" w:rsidRDefault="00A5224A" w:rsidP="00C77D4D">
            <w:pPr>
              <w:pStyle w:val="a8"/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00996E00" w14:textId="33B5D61A" w:rsidR="00A5224A" w:rsidRDefault="00A5224A" w:rsidP="00C77D4D">
            <w:pPr>
              <w:pStyle w:val="a8"/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29" w:type="dxa"/>
          </w:tcPr>
          <w:p w14:paraId="61E3660E" w14:textId="77777777" w:rsidR="00A5224A" w:rsidRPr="000043CA" w:rsidRDefault="00A5224A" w:rsidP="00C77D4D">
            <w:pPr>
              <w:ind w:right="-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Стратегія сталого розвитку Новгород-Сіверської міської територіальної</w:t>
            </w:r>
          </w:p>
          <w:p w14:paraId="191DA1C3" w14:textId="6BCF1348" w:rsidR="00A5224A" w:rsidRDefault="00A5224A" w:rsidP="00C77D4D">
            <w:pPr>
              <w:pStyle w:val="a8"/>
              <w:ind w:right="-9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громади на 2021-2029 роки</w:t>
            </w:r>
          </w:p>
        </w:tc>
      </w:tr>
    </w:tbl>
    <w:p w14:paraId="7E12C24B" w14:textId="77777777" w:rsidR="00587BD9" w:rsidRPr="00C77D4D" w:rsidRDefault="00587BD9" w:rsidP="00C77D4D">
      <w:pPr>
        <w:pStyle w:val="a8"/>
        <w:rPr>
          <w:rFonts w:ascii="Times New Roman" w:hAnsi="Times New Roman" w:cs="Times New Roman"/>
          <w:sz w:val="2"/>
          <w:szCs w:val="2"/>
          <w:lang w:val="uk-UA"/>
        </w:rPr>
      </w:pPr>
    </w:p>
    <w:sectPr w:rsidR="00587BD9" w:rsidRPr="00C77D4D" w:rsidSect="001B15DA">
      <w:headerReference w:type="default" r:id="rId8"/>
      <w:pgSz w:w="16838" w:h="11906" w:orient="landscape"/>
      <w:pgMar w:top="1701" w:right="1134" w:bottom="567" w:left="1134" w:header="284" w:footer="709" w:gutter="0"/>
      <w:pgNumType w:start="1"/>
      <w:cols w:space="1701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C4602" w14:textId="77777777" w:rsidR="00D636CF" w:rsidRDefault="00D636CF">
      <w:pPr>
        <w:spacing w:after="0" w:line="240" w:lineRule="auto"/>
      </w:pPr>
      <w:r>
        <w:separator/>
      </w:r>
    </w:p>
  </w:endnote>
  <w:endnote w:type="continuationSeparator" w:id="0">
    <w:p w14:paraId="677508D8" w14:textId="77777777" w:rsidR="00D636CF" w:rsidRDefault="00D6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E6827" w14:textId="77777777" w:rsidR="00D636CF" w:rsidRDefault="00D636CF">
      <w:pPr>
        <w:spacing w:after="0" w:line="240" w:lineRule="auto"/>
      </w:pPr>
      <w:r>
        <w:separator/>
      </w:r>
    </w:p>
  </w:footnote>
  <w:footnote w:type="continuationSeparator" w:id="0">
    <w:p w14:paraId="273A8C73" w14:textId="77777777" w:rsidR="00D636CF" w:rsidRDefault="00D63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377695217"/>
      <w:docPartObj>
        <w:docPartGallery w:val="Page Numbers (Top of Page)"/>
        <w:docPartUnique/>
      </w:docPartObj>
    </w:sdtPr>
    <w:sdtEndPr/>
    <w:sdtContent>
      <w:p w14:paraId="2FE78CFF" w14:textId="5609BD80" w:rsidR="00AC5949" w:rsidRDefault="00AC5949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5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59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5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7D4D" w:rsidRPr="00C77D4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AC5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AE69561" w14:textId="06F02E31" w:rsidR="00AC5949" w:rsidRPr="00AC5949" w:rsidRDefault="00AC5949" w:rsidP="00AC5949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>Продовження додатка 1</w:t>
        </w:r>
      </w:p>
    </w:sdtContent>
  </w:sdt>
  <w:p w14:paraId="3CCF27A2" w14:textId="77777777" w:rsidR="00AC5949" w:rsidRDefault="00AC594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3C"/>
    <w:rsid w:val="000043CA"/>
    <w:rsid w:val="00037B07"/>
    <w:rsid w:val="000A5DDA"/>
    <w:rsid w:val="000C45D8"/>
    <w:rsid w:val="0018610D"/>
    <w:rsid w:val="001A663C"/>
    <w:rsid w:val="001B15DA"/>
    <w:rsid w:val="001C507F"/>
    <w:rsid w:val="002E7D3D"/>
    <w:rsid w:val="002F3D84"/>
    <w:rsid w:val="0038168F"/>
    <w:rsid w:val="00394245"/>
    <w:rsid w:val="003C13A7"/>
    <w:rsid w:val="003C6B79"/>
    <w:rsid w:val="003E03EF"/>
    <w:rsid w:val="004819E0"/>
    <w:rsid w:val="00497DD9"/>
    <w:rsid w:val="004F0747"/>
    <w:rsid w:val="00587BD9"/>
    <w:rsid w:val="005B3448"/>
    <w:rsid w:val="005E5020"/>
    <w:rsid w:val="00740FEE"/>
    <w:rsid w:val="007C5863"/>
    <w:rsid w:val="00811024"/>
    <w:rsid w:val="0085642D"/>
    <w:rsid w:val="008A47D6"/>
    <w:rsid w:val="0091084E"/>
    <w:rsid w:val="00921698"/>
    <w:rsid w:val="009D75E4"/>
    <w:rsid w:val="00A17E63"/>
    <w:rsid w:val="00A200CB"/>
    <w:rsid w:val="00A5224A"/>
    <w:rsid w:val="00A843A7"/>
    <w:rsid w:val="00AC5949"/>
    <w:rsid w:val="00B07D01"/>
    <w:rsid w:val="00BD3C11"/>
    <w:rsid w:val="00C77D4D"/>
    <w:rsid w:val="00CF7DAA"/>
    <w:rsid w:val="00D610D2"/>
    <w:rsid w:val="00D636CF"/>
    <w:rsid w:val="00E13218"/>
    <w:rsid w:val="00E506FA"/>
    <w:rsid w:val="00EC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3C61"/>
  <w15:docId w15:val="{99C51083-28EE-4F28-83B7-9DFB5639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3D84"/>
  </w:style>
  <w:style w:type="paragraph" w:styleId="1">
    <w:name w:val="heading 1"/>
    <w:basedOn w:val="a"/>
    <w:next w:val="a"/>
    <w:link w:val="11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link w:val="21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link w:val="31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link w:val="41"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link w:val="51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link w:val="61"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FFFFFF" w:themeColor="text1" w:themeTint="00"/>
      <w:lang w:val="uk-UA" w:eastAsia="en-US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FFFFFF" w:themeColor="text1" w:themeTint="00"/>
      <w:lang w:val="uk-UA" w:eastAsia="en-US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FFFFFF" w:themeColor="text1" w:themeTint="0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paragraph" w:styleId="ae">
    <w:name w:val="header"/>
    <w:basedOn w:val="a"/>
    <w:link w:val="af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spacing w:after="80" w:line="240" w:lineRule="auto"/>
    </w:pPr>
    <w:rPr>
      <w:sz w:val="56"/>
      <w:szCs w:val="56"/>
    </w:rPr>
  </w:style>
  <w:style w:type="character" w:customStyle="1" w:styleId="10">
    <w:name w:val="Заголовок 1 Знак"/>
    <w:basedOn w:val="a0"/>
    <w:uiPriority w:val="9"/>
    <w:rPr>
      <w:rFonts w:asciiTheme="majorHAnsi" w:eastAsiaTheme="majorEastAsia" w:hAnsiTheme="majorHAnsi" w:cstheme="majorBidi"/>
      <w:color w:val="000000" w:themeColor="accent1" w:themeShade="00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Pr>
      <w:rFonts w:asciiTheme="majorHAnsi" w:eastAsiaTheme="majorEastAsia" w:hAnsiTheme="majorHAnsi" w:cstheme="majorBidi"/>
      <w:color w:val="000000" w:themeColor="accent1" w:themeShade="00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Pr>
      <w:rFonts w:eastAsiaTheme="majorEastAsia" w:cstheme="majorBidi"/>
      <w:color w:val="000000" w:themeColor="accent1" w:themeShade="00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Pr>
      <w:rFonts w:eastAsiaTheme="majorEastAsia" w:cstheme="majorBidi"/>
      <w:i/>
      <w:iCs/>
      <w:color w:val="000000" w:themeColor="accent1" w:themeShade="00"/>
    </w:rPr>
  </w:style>
  <w:style w:type="character" w:customStyle="1" w:styleId="50">
    <w:name w:val="Заголовок 5 Знак"/>
    <w:basedOn w:val="a0"/>
    <w:uiPriority w:val="9"/>
    <w:semiHidden/>
    <w:rPr>
      <w:rFonts w:eastAsiaTheme="majorEastAsia" w:cstheme="majorBidi"/>
      <w:color w:val="000000" w:themeColor="accent1" w:themeShade="00"/>
    </w:rPr>
  </w:style>
  <w:style w:type="character" w:customStyle="1" w:styleId="60">
    <w:name w:val="Заголовок 6 Знак"/>
    <w:basedOn w:val="a0"/>
    <w:uiPriority w:val="9"/>
    <w:semiHidden/>
    <w:rPr>
      <w:rFonts w:eastAsiaTheme="majorEastAsia" w:cstheme="majorBidi"/>
      <w:i/>
      <w:iCs/>
      <w:color w:val="FFFFFF" w:themeColor="text1" w:themeTint="00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FFFFFF" w:themeColor="text1" w:themeTint="00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FFFFFF" w:themeColor="text1" w:themeTint="00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FFFFFF" w:themeColor="text1" w:themeTint="00"/>
    </w:rPr>
  </w:style>
  <w:style w:type="character" w:customStyle="1" w:styleId="afd">
    <w:name w:val="Назва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e">
    <w:name w:val="Підзаголовок Знак"/>
    <w:basedOn w:val="a0"/>
    <w:uiPriority w:val="11"/>
    <w:rPr>
      <w:rFonts w:eastAsiaTheme="majorEastAsia" w:cstheme="majorBidi"/>
      <w:color w:val="FFFFFF" w:themeColor="text1" w:themeTint="00"/>
      <w:spacing w:val="15"/>
      <w:sz w:val="28"/>
      <w:szCs w:val="28"/>
    </w:rPr>
  </w:style>
  <w:style w:type="paragraph" w:styleId="22">
    <w:name w:val="Quote"/>
    <w:link w:val="23"/>
    <w:uiPriority w:val="29"/>
    <w:qFormat/>
    <w:pPr>
      <w:spacing w:before="160"/>
      <w:jc w:val="center"/>
    </w:pPr>
    <w:rPr>
      <w:rFonts w:asciiTheme="minorHAnsi" w:eastAsiaTheme="minorHAnsi" w:hAnsiTheme="minorHAnsi" w:cstheme="minorBidi"/>
      <w:i/>
      <w:iCs/>
      <w:color w:val="FFFFFF" w:themeColor="text1" w:themeTint="00"/>
      <w:lang w:val="uk-UA" w:eastAsia="en-US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FFFFFF" w:themeColor="text1" w:themeTint="00"/>
    </w:rPr>
  </w:style>
  <w:style w:type="paragraph" w:styleId="aff">
    <w:name w:val="List Paragraph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character" w:styleId="aff0">
    <w:name w:val="Intense Emphasis"/>
    <w:basedOn w:val="a0"/>
    <w:uiPriority w:val="21"/>
    <w:qFormat/>
    <w:rPr>
      <w:i/>
      <w:iCs/>
      <w:color w:val="000000" w:themeColor="accent1" w:themeShade="00"/>
    </w:rPr>
  </w:style>
  <w:style w:type="paragraph" w:styleId="aff1">
    <w:name w:val="Intense Quote"/>
    <w:link w:val="aff2"/>
    <w:uiPriority w:val="30"/>
    <w:qFormat/>
    <w:pPr>
      <w:pBdr>
        <w:top w:val="single" w:sz="4" w:space="10" w:color="000000" w:themeColor="accent1" w:themeShade="00"/>
        <w:bottom w:val="single" w:sz="4" w:space="10" w:color="000000" w:themeColor="accent1" w:themeShade="0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00000" w:themeColor="accent1" w:themeShade="00"/>
      <w:lang w:val="uk-UA" w:eastAsia="en-US"/>
    </w:rPr>
  </w:style>
  <w:style w:type="character" w:customStyle="1" w:styleId="aff2">
    <w:name w:val="Выделенная цитата Знак"/>
    <w:basedOn w:val="a0"/>
    <w:link w:val="aff1"/>
    <w:uiPriority w:val="30"/>
    <w:rPr>
      <w:i/>
      <w:iCs/>
      <w:color w:val="000000" w:themeColor="accent1" w:themeShade="00"/>
    </w:rPr>
  </w:style>
  <w:style w:type="character" w:styleId="aff3">
    <w:name w:val="Intense Reference"/>
    <w:basedOn w:val="a0"/>
    <w:uiPriority w:val="32"/>
    <w:qFormat/>
    <w:rPr>
      <w:b/>
      <w:bCs/>
      <w:smallCaps/>
      <w:color w:val="000000" w:themeColor="accent1" w:themeShade="00"/>
      <w:spacing w:val="5"/>
    </w:rPr>
  </w:style>
  <w:style w:type="paragraph" w:styleId="a7">
    <w:name w:val="Subtitle"/>
    <w:basedOn w:val="a"/>
    <w:next w:val="a"/>
    <w:link w:val="a6"/>
    <w:rPr>
      <w:color w:val="595959"/>
      <w:sz w:val="28"/>
      <w:szCs w:val="2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q0SMuFtZ9iKMYOuoROjmomP/w==">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98D4F8-E23E-4ED1-9414-9F3189E8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Гречуха О.П.</dc:creator>
  <cp:lastModifiedBy>Serhei</cp:lastModifiedBy>
  <cp:revision>19</cp:revision>
  <dcterms:created xsi:type="dcterms:W3CDTF">2025-08-31T06:48:00Z</dcterms:created>
  <dcterms:modified xsi:type="dcterms:W3CDTF">2025-09-02T04:54:00Z</dcterms:modified>
</cp:coreProperties>
</file>